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7E10B603" w:rsidP="7E10B603" w:rsidRDefault="7E10B603" w14:paraId="17C22C75" w14:textId="118B8E13">
      <w:pPr>
        <w:pStyle w:val="Title"/>
        <w:jc w:val="center"/>
      </w:pPr>
    </w:p>
    <w:p w:rsidR="2A42210E" w:rsidP="7E10B603" w:rsidRDefault="2A42210E" w14:paraId="5A0F0CE1" w14:textId="24B5D427">
      <w:pPr>
        <w:pStyle w:val="Title"/>
        <w:jc w:val="center"/>
      </w:pPr>
      <w:r w:rsidR="2A42210E">
        <w:drawing>
          <wp:inline wp14:editId="6A0F8BDB" wp14:anchorId="2E4C3540">
            <wp:extent cx="2547953" cy="2547953"/>
            <wp:effectExtent l="0" t="0" r="0" b="0"/>
            <wp:docPr id="165305850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53058500" name="Picture 1653058500"/>
                    <pic:cNvPicPr/>
                  </pic:nvPicPr>
                  <pic:blipFill>
                    <a:blip xmlns:r="http://schemas.openxmlformats.org/officeDocument/2006/relationships" r:embed="rId1688345396">
                      <a:extLst>
                        <a:ext uri="{28A0092B-C50C-407E-A947-70E740481C1C}">
                          <a14:useLocalDpi xmlns:a14="http://schemas.microsoft.com/office/drawing/2010/main"/>
                        </a:ext>
                      </a:extLst>
                    </a:blip>
                    <a:stretch>
                      <a:fillRect/>
                    </a:stretch>
                  </pic:blipFill>
                  <pic:spPr>
                    <a:xfrm rot="0">
                      <a:off x="0" y="0"/>
                      <a:ext cx="2547953" cy="2547953"/>
                    </a:xfrm>
                    <a:prstGeom prst="rect">
                      <a:avLst/>
                    </a:prstGeom>
                  </pic:spPr>
                </pic:pic>
              </a:graphicData>
            </a:graphic>
          </wp:inline>
        </w:drawing>
      </w:r>
    </w:p>
    <w:p w:rsidR="7E10B603" w:rsidP="7E10B603" w:rsidRDefault="7E10B603" w14:paraId="403D8C11" w14:textId="6DD89C8F">
      <w:pPr>
        <w:pStyle w:val="Title"/>
        <w:jc w:val="center"/>
      </w:pPr>
      <w:r w:rsidR="7E10B603">
        <w:rPr/>
        <w:t>ARK AEP Educational Visits Policy</w:t>
      </w:r>
      <w:r w:rsidR="661E6949">
        <w:rPr/>
        <w:t>-September 2025</w:t>
      </w:r>
    </w:p>
    <w:p w:rsidR="7E10B603" w:rsidP="7E10B603" w:rsidRDefault="7E10B603" w14:paraId="20E7D348" w14:textId="344B4B99">
      <w:pPr>
        <w:pStyle w:val="Subtitle"/>
      </w:pPr>
      <w:r w:rsidR="7E10B603">
        <w:rPr/>
        <w:t>Policy for planning, approving and managing educational visits and off-site activities</w:t>
      </w:r>
    </w:p>
    <w:p w:rsidR="7E10B603" w:rsidP="7E10B603" w:rsidRDefault="7E10B603" w14:paraId="5EA76207" w14:textId="4A82AF9A">
      <w:pPr>
        <w:pStyle w:val="Heading1"/>
      </w:pPr>
      <w:r w:rsidR="7E10B603">
        <w:rPr/>
        <w:t>1. Purpose</w:t>
      </w:r>
    </w:p>
    <w:p w:rsidR="7E10B603" w:rsidP="7E10B603" w:rsidRDefault="7E10B603" w14:paraId="6908A82D" w14:textId="529229D7">
      <w:pPr>
        <w:pStyle w:val="Normal"/>
      </w:pPr>
      <w:r w:rsidR="7E10B603">
        <w:rPr/>
        <w:t>This policy sets out ARK AEP’s approach to the safe planning, approval, delivery and review of educational visits and off-site activities. Educational visits are valued as an important part of the curriculum and wider personal development offer. They provide learners with opportunities to extend classroom learning, develop independence, build confidence and engage with the wider community.</w:t>
      </w:r>
    </w:p>
    <w:p w:rsidR="7E10B603" w:rsidP="7E10B603" w:rsidRDefault="7E10B603" w14:paraId="166B4C16" w14:textId="7D1BCAB6">
      <w:pPr>
        <w:pStyle w:val="Normal"/>
      </w:pPr>
      <w:r w:rsidR="7E10B603">
        <w:rPr/>
        <w:t>ARK AEP will ensure that all visits are planned carefully, risk assessed proportionately and delivered in a way that safeguards learners, staff and volunteers. The school will work within Department for Education guidance at all times, including guidance on health and safety on educational visits, and will apply a sensible and proportionate approach to managing genuine risks.</w:t>
      </w:r>
    </w:p>
    <w:p w:rsidR="7E10B603" w:rsidP="7E10B603" w:rsidRDefault="7E10B603" w14:paraId="675F4B56" w14:textId="1F6B6A0F">
      <w:pPr>
        <w:pStyle w:val="Heading1"/>
      </w:pPr>
      <w:r w:rsidR="7E10B603">
        <w:rPr/>
        <w:t>2. Scope</w:t>
      </w:r>
    </w:p>
    <w:p w:rsidR="7E10B603" w:rsidP="7E10B603" w:rsidRDefault="7E10B603" w14:paraId="063574F3" w14:textId="19C195FC">
      <w:pPr>
        <w:pStyle w:val="Normal"/>
      </w:pPr>
      <w:r w:rsidR="7E10B603">
        <w:rPr/>
        <w:t>This policy applies to all educational visits, journeys, trips, activities and learning experiences that take place away from the ARK AEP site, whether during or outside normal school hours. This includes routine local visits, curriculum visits, enrichment activities, sports fixtures, work-related learning, visits involving public transport, visits delivered by external providers and any higher-risk or specialist activity.</w:t>
      </w:r>
    </w:p>
    <w:p w:rsidR="7E10B603" w:rsidP="7E10B603" w:rsidRDefault="7E10B603" w14:paraId="275500BD" w14:textId="38912D47">
      <w:pPr>
        <w:pStyle w:val="Normal"/>
      </w:pPr>
      <w:r w:rsidR="7E10B603">
        <w:rPr/>
        <w:t>The policy applies to all staff, learners, volunteers, external providers and any adults supporting visits on behalf of ARK AEP.</w:t>
      </w:r>
    </w:p>
    <w:p w:rsidR="7E10B603" w:rsidP="7E10B603" w:rsidRDefault="7E10B603" w14:paraId="5E297785" w14:textId="66DABF2E">
      <w:pPr>
        <w:pStyle w:val="Heading1"/>
      </w:pPr>
      <w:r w:rsidR="7E10B603">
        <w:rPr/>
        <w:t>3. Policy Statement</w:t>
      </w:r>
    </w:p>
    <w:p w:rsidR="7E10B603" w:rsidP="7E10B603" w:rsidRDefault="7E10B603" w14:paraId="63A68A84" w14:textId="11A0C1CB">
      <w:pPr>
        <w:pStyle w:val="Normal"/>
      </w:pPr>
      <w:r w:rsidR="7E10B603">
        <w:rPr/>
        <w:t>ARK AEP is committed to enabling learners to access high-quality educational visits wherever it is safe, appropriate and beneficial to do so. The school recognises that learners may have individual needs, vulnerabilities, behaviours, medical circumstances, safeguarding considerations or support requirements that must be considered before participation in any visit.</w:t>
      </w:r>
    </w:p>
    <w:p w:rsidR="7E10B603" w:rsidP="7E10B603" w:rsidRDefault="7E10B603" w14:paraId="44F81B02" w14:textId="1D81309E">
      <w:pPr>
        <w:pStyle w:val="Normal"/>
      </w:pPr>
      <w:r w:rsidR="7E10B603">
        <w:rPr/>
        <w:t>ARK Senior Leadership Team will risk assess individual learners before educational visits where additional consideration is required. This assessment will consider the learner’s needs, current presentation, behaviour, safeguarding context, medical needs, mobility, emotional regulation, supervision requirements and any known triggers or risks. Where necessary, ARK SLT will take advice from external experts, agencies or professionals to inform planning and decision-making.</w:t>
      </w:r>
    </w:p>
    <w:p w:rsidR="7E10B603" w:rsidP="7E10B603" w:rsidRDefault="7E10B603" w14:paraId="30DDD210" w14:textId="5118A663">
      <w:pPr>
        <w:pStyle w:val="Normal"/>
      </w:pPr>
      <w:r w:rsidR="7E10B603">
        <w:rPr/>
        <w:t>Decisions about participation will be made on an individual basis and will be guided by the principles of inclusion, safeguarding, reasonable adjustment, proportionality and the duty to manage foreseeable risks. ARK AEP will work within Department for Education guidelines at all times.</w:t>
      </w:r>
    </w:p>
    <w:p w:rsidR="7E10B603" w:rsidP="7E10B603" w:rsidRDefault="7E10B603" w14:paraId="6ED99511" w14:textId="633DBA8E">
      <w:pPr>
        <w:pStyle w:val="Heading1"/>
      </w:pPr>
      <w:r w:rsidR="7E10B603">
        <w:rPr/>
        <w:t>4. Roles and Responsibilities</w:t>
      </w:r>
    </w:p>
    <w:p w:rsidR="7E10B603" w:rsidP="7E10B603" w:rsidRDefault="7E10B603" w14:paraId="2A3BB364" w14:textId="7AF6981E">
      <w:pPr>
        <w:pStyle w:val="Heading2"/>
      </w:pPr>
      <w:r w:rsidR="7E10B603">
        <w:rPr/>
        <w:t>4.1 Senior Leadership Team</w:t>
      </w:r>
    </w:p>
    <w:p w:rsidR="7E10B603" w:rsidP="7E10B603" w:rsidRDefault="7E10B603" w14:paraId="7963BD70" w14:textId="3CA59346">
      <w:pPr>
        <w:pStyle w:val="Normal"/>
      </w:pPr>
      <w:r w:rsidR="7E10B603">
        <w:rPr/>
        <w:t>ARK SLT is responsible for ensuring that educational visits are authorised, appropriately planned and consistent with this policy. SLT will ensure that visit leaders are competent, that risks are assessed proportionately, that safeguarding arrangements are in place and that suitable staffing and supervision are provided.</w:t>
      </w:r>
    </w:p>
    <w:p w:rsidR="7E10B603" w:rsidP="7E10B603" w:rsidRDefault="7E10B603" w14:paraId="443D4FE7" w14:textId="2BE3ED3E">
      <w:pPr>
        <w:pStyle w:val="Normal"/>
      </w:pPr>
      <w:r w:rsidR="7E10B603">
        <w:rPr/>
        <w:t>SLT will review individual learner circumstances where additional risk assessment is required and will seek advice from external professionals where this is needed to support safe and inclusive decision-making.</w:t>
      </w:r>
    </w:p>
    <w:p w:rsidR="7E10B603" w:rsidP="7E10B603" w:rsidRDefault="7E10B603" w14:paraId="4686EAC5" w14:textId="6BAE6939">
      <w:pPr>
        <w:pStyle w:val="Heading2"/>
      </w:pPr>
      <w:r w:rsidR="7E10B603">
        <w:rPr/>
        <w:t>4.2 Educational Visits Coordinator</w:t>
      </w:r>
    </w:p>
    <w:p w:rsidR="7E10B603" w:rsidP="7E10B603" w:rsidRDefault="7E10B603" w14:paraId="0C05FF93" w14:textId="7BF3E9FD">
      <w:pPr>
        <w:pStyle w:val="Normal"/>
      </w:pPr>
      <w:r w:rsidR="7E10B603">
        <w:rPr/>
        <w:t>The Educational Visits Coordinator, where appointed, will support staff with planning, risk assessment, approval processes, provider checks, visit documentation, monitoring and review. The coordinator will help ensure that visits follow ARK AEP procedures and relevant Department for Education guidance.</w:t>
      </w:r>
    </w:p>
    <w:p w:rsidR="7E10B603" w:rsidP="7E10B603" w:rsidRDefault="7E10B603" w14:paraId="4B734046" w14:textId="63513FCA">
      <w:pPr>
        <w:pStyle w:val="Heading2"/>
      </w:pPr>
      <w:r w:rsidR="7E10B603">
        <w:rPr/>
        <w:t>4.3 Visit Leader</w:t>
      </w:r>
    </w:p>
    <w:p w:rsidR="7E10B603" w:rsidP="7E10B603" w:rsidRDefault="7E10B603" w14:paraId="346C1275" w14:textId="6046E6B7">
      <w:pPr>
        <w:pStyle w:val="Normal"/>
      </w:pPr>
      <w:r w:rsidR="7E10B603">
        <w:rPr/>
        <w:t>The visit leader is responsible for the day-to-day planning and delivery of the visit. The visit leader must be competent, familiar with the activity, aware of the risks involved and able to manage the group safely. Responsibilities include preparing visit plans, completing risk assessments, briefing staff and learners, checking supervision arrangements, communicating with parents and carers where required and ensuring emergency procedures are understood.</w:t>
      </w:r>
    </w:p>
    <w:p w:rsidR="7E10B603" w:rsidP="7E10B603" w:rsidRDefault="7E10B603" w14:paraId="446A48B4" w14:textId="1467C9EC">
      <w:pPr>
        <w:pStyle w:val="Heading2"/>
      </w:pPr>
      <w:r w:rsidR="7E10B603">
        <w:rPr/>
        <w:t>4.4 Staff and Volunteers</w:t>
      </w:r>
    </w:p>
    <w:p w:rsidR="7E10B603" w:rsidP="7E10B603" w:rsidRDefault="7E10B603" w14:paraId="038A17AE" w14:textId="218C926F">
      <w:pPr>
        <w:pStyle w:val="Normal"/>
      </w:pPr>
      <w:r w:rsidR="7E10B603">
        <w:rPr/>
        <w:t>All adults supporting a visit must follow the visit leader’s instructions, uphold safeguarding expectations, supervise learners appropriately and report any concerns or incidents promptly. Volunteers must be suitably briefed and must not be placed in unsupervised responsibility for learners unless this has been explicitly authorised and all safeguarding requirements have been met.</w:t>
      </w:r>
    </w:p>
    <w:p w:rsidR="7E10B603" w:rsidP="7E10B603" w:rsidRDefault="7E10B603" w14:paraId="0CD928A2" w14:textId="341C47A8">
      <w:pPr>
        <w:pStyle w:val="Heading2"/>
      </w:pPr>
      <w:r w:rsidR="7E10B603">
        <w:rPr/>
        <w:t>4.5 Learners</w:t>
      </w:r>
    </w:p>
    <w:p w:rsidR="7E10B603" w:rsidP="7E10B603" w:rsidRDefault="7E10B603" w14:paraId="150F59BC" w14:textId="2E9AA892">
      <w:pPr>
        <w:pStyle w:val="Normal"/>
      </w:pPr>
      <w:r w:rsidR="7E10B603">
        <w:rPr/>
        <w:t>Learners are expected to follow staff instructions, behave safely and respectfully, remain with the group unless otherwise agreed and comply with the behaviour expectations set for the visit. Individual expectations may be discussed with learners in advance where this will support safe participation.</w:t>
      </w:r>
    </w:p>
    <w:p w:rsidR="7E10B603" w:rsidP="7E10B603" w:rsidRDefault="7E10B603" w14:paraId="1ED13845" w14:textId="081183CC">
      <w:pPr>
        <w:pStyle w:val="Heading1"/>
      </w:pPr>
      <w:r w:rsidR="7E10B603">
        <w:rPr/>
        <w:t>5. Types of Educational Visit</w:t>
      </w:r>
    </w:p>
    <w:p w:rsidR="7E10B603" w:rsidP="7E10B603" w:rsidRDefault="7E10B603" w14:paraId="4ECA76B1" w14:textId="3F6F8EF5">
      <w:pPr>
        <w:pStyle w:val="Normal"/>
      </w:pPr>
      <w:r w:rsidR="7E10B603">
        <w:rPr/>
        <w:t>Educational visits will normally fall into two broad categories: routine visits and visits requiring additional planning. Routine visits involve everyday levels of risk and are covered by existing school procedures, with additional planning for the educational purpose and logistics. Visits requiring additional planning may involve greater distance, unfamiliar locations, specialist activities, external providers, transport arrangements, higher levels of supervision or individual learner considerations.</w:t>
      </w:r>
    </w:p>
    <w:p w:rsidR="7E10B603" w:rsidP="7E10B603" w:rsidRDefault="7E10B603" w14:paraId="597117D4" w14:textId="1C4F74FD">
      <w:pPr>
        <w:pStyle w:val="Normal"/>
      </w:pPr>
      <w:r w:rsidR="7E10B603">
        <w:rPr/>
        <w:t>Any visit that is not clearly covered by existing procedures must be subject to a specific risk assessment and approval process before it takes place.</w:t>
      </w:r>
    </w:p>
    <w:p w:rsidR="7E10B603" w:rsidP="7E10B603" w:rsidRDefault="7E10B603" w14:paraId="44FCAB9D" w14:textId="1FB43F0B">
      <w:pPr>
        <w:pStyle w:val="Heading1"/>
      </w:pPr>
      <w:r w:rsidR="7E10B603">
        <w:rPr/>
        <w:t>6. Planning and Approval</w:t>
      </w:r>
    </w:p>
    <w:p w:rsidR="7E10B603" w:rsidP="7E10B603" w:rsidRDefault="7E10B603" w14:paraId="3B0AE611" w14:textId="0BF9D5BD">
      <w:pPr>
        <w:pStyle w:val="Normal"/>
      </w:pPr>
      <w:r w:rsidR="7E10B603">
        <w:rPr/>
        <w:t>All visits must be planned in sufficient time to allow risks, staffing, learner needs, transport, venue suitability, communication and contingency arrangements to be considered. Approval must be obtained before commitments are made or learners are taken off site.</w:t>
      </w:r>
    </w:p>
    <w:p w:rsidR="7E10B603" w:rsidP="7E10B603" w:rsidRDefault="7E10B603" w14:paraId="346E013A" w14:textId="6E082F4F">
      <w:pPr>
        <w:pStyle w:val="Normal"/>
      </w:pPr>
      <w:r w:rsidR="7E10B603">
        <w:rPr/>
        <w:t>Planning should include the purpose of the visit, intended learning outcomes, date and timings, venue details, transport arrangements, staffing, supervision levels, learner group, individual learner considerations, first aid arrangements, emergency contacts, communication arrangements, consent requirements and any external provider checks.</w:t>
      </w:r>
    </w:p>
    <w:p w:rsidR="7E10B603" w:rsidP="7E10B603" w:rsidRDefault="7E10B603" w14:paraId="0C52E0D2" w14:textId="42EB0717">
      <w:pPr>
        <w:pStyle w:val="Heading1"/>
      </w:pPr>
      <w:r w:rsidR="7E10B603">
        <w:rPr/>
        <w:t>7. Risk Assessment</w:t>
      </w:r>
    </w:p>
    <w:p w:rsidR="7E10B603" w:rsidP="7E10B603" w:rsidRDefault="7E10B603" w14:paraId="07D39217" w14:textId="5DFB413F">
      <w:pPr>
        <w:pStyle w:val="Normal"/>
      </w:pPr>
      <w:r w:rsidR="7E10B603">
        <w:rPr/>
        <w:t>Risk assessment must be proportionate to the nature of the visit and should focus on genuine risks. It must consider the activity, location, travel, weather, supervision, learner needs, safeguarding, medical needs, behaviour, emergency arrangements and any relevant venue or provider information.</w:t>
      </w:r>
    </w:p>
    <w:p w:rsidR="7E10B603" w:rsidP="7E10B603" w:rsidRDefault="7E10B603" w14:paraId="56C1687E" w14:textId="55BA5AAC">
      <w:pPr>
        <w:pStyle w:val="Normal"/>
      </w:pPr>
      <w:r w:rsidR="7E10B603">
        <w:rPr/>
        <w:t>For learners who may require additional support or whose circumstances may create additional risk, ARK SLT will complete or oversee an individual learner risk assessment. This may include consultation with parents or carers, social workers, virtual school staff, health professionals, behaviour specialists, safeguarding partners, transport providers or other external experts where appropriate.</w:t>
      </w:r>
    </w:p>
    <w:p w:rsidR="7E10B603" w:rsidP="7E10B603" w:rsidRDefault="7E10B603" w14:paraId="64710CCD" w14:textId="2A23EA99">
      <w:pPr>
        <w:pStyle w:val="Normal"/>
      </w:pPr>
      <w:r w:rsidR="7E10B603">
        <w:rPr/>
        <w:t>Risk assessments must identify control measures, staffing requirements, reasonable adjustments and any circumstances in which a visit should be adapted, postponed or not proceed for a particular learner or group. Records of risk assessments and decisions must be retained in line with school procedures.</w:t>
      </w:r>
    </w:p>
    <w:p w:rsidR="7E10B603" w:rsidP="7E10B603" w:rsidRDefault="7E10B603" w14:paraId="67DCAC90" w14:textId="5CCA4900">
      <w:pPr>
        <w:pStyle w:val="Heading1"/>
      </w:pPr>
      <w:r w:rsidR="7E10B603">
        <w:rPr/>
        <w:t>8. Safeguarding and Behaviour</w:t>
      </w:r>
    </w:p>
    <w:p w:rsidR="7E10B603" w:rsidP="7E10B603" w:rsidRDefault="7E10B603" w14:paraId="701B4F55" w14:textId="640E933D">
      <w:pPr>
        <w:pStyle w:val="Normal"/>
      </w:pPr>
      <w:r w:rsidR="7E10B603">
        <w:rPr/>
        <w:t>Safeguarding is central to the planning and delivery of all educational visits. Staff must follow ARK AEP safeguarding procedures throughout the visit and must report concerns in line with the school’s safeguarding policy. Learner information must be shared with staff on a need-to-know basis so that appropriate supervision and support can be provided.</w:t>
      </w:r>
    </w:p>
    <w:p w:rsidR="7E10B603" w:rsidP="7E10B603" w:rsidRDefault="7E10B603" w14:paraId="6313FDAB" w14:textId="492B09CD">
      <w:pPr>
        <w:pStyle w:val="Normal"/>
      </w:pPr>
      <w:r w:rsidR="7E10B603">
        <w:rPr/>
        <w:t>Behaviour expectations must be made clear before the visit. Where a learner requires an individual behaviour plan, safety plan or additional support, this must be considered as part of the visit planning and individual risk assessment process.</w:t>
      </w:r>
    </w:p>
    <w:p w:rsidR="7E10B603" w:rsidP="7E10B603" w:rsidRDefault="7E10B603" w14:paraId="28300803" w14:textId="0BD2D60A">
      <w:pPr>
        <w:pStyle w:val="Heading1"/>
      </w:pPr>
      <w:r w:rsidR="7E10B603">
        <w:rPr/>
        <w:t>9. Supervision</w:t>
      </w:r>
    </w:p>
    <w:p w:rsidR="7E10B603" w:rsidP="7E10B603" w:rsidRDefault="7E10B603" w14:paraId="63A79559" w14:textId="0A01EBE7">
      <w:pPr>
        <w:pStyle w:val="Normal"/>
      </w:pPr>
      <w:r w:rsidR="7E10B603">
        <w:rPr/>
        <w:t>Supervision levels must be determined through risk assessment and must take account of the learners’ ages, needs, behaviour, venue, activity, travel arrangements and any foreseeable risks. Fixed ratios should not replace professional judgement. Where individual learner risks indicate a need for increased supervision, ARK AEP will put appropriate arrangements in place before the visit proceeds.</w:t>
      </w:r>
    </w:p>
    <w:p w:rsidR="7E10B603" w:rsidP="7E10B603" w:rsidRDefault="7E10B603" w14:paraId="52AD0557" w14:textId="239AEB00">
      <w:pPr>
        <w:pStyle w:val="Normal"/>
      </w:pPr>
      <w:r w:rsidR="7E10B603">
        <w:rPr/>
        <w:t>Staff must maintain effective communication with each other during the visit and must know who is responsible for each learner at all times.</w:t>
      </w:r>
    </w:p>
    <w:p w:rsidR="7E10B603" w:rsidP="7E10B603" w:rsidRDefault="7E10B603" w14:paraId="34813541" w14:textId="1B5F352F">
      <w:pPr>
        <w:pStyle w:val="Heading1"/>
      </w:pPr>
      <w:r w:rsidR="7E10B603">
        <w:rPr/>
        <w:t>10. External Providers and Venues</w:t>
      </w:r>
    </w:p>
    <w:p w:rsidR="7E10B603" w:rsidP="7E10B603" w:rsidRDefault="7E10B603" w14:paraId="2D3BABFF" w14:textId="654AEA05">
      <w:pPr>
        <w:pStyle w:val="Normal"/>
      </w:pPr>
      <w:r w:rsidR="7E10B603">
        <w:rPr/>
        <w:t>Where an external organisation or venue is used, ARK AEP will take reasonable steps to check that the provider has appropriate safety standards, competent staff and suitable public liability insurance. Where relevant, provider risk assessments, activity information, safeguarding arrangements and emergency procedures should be reviewed as part of the visit planning process.</w:t>
      </w:r>
    </w:p>
    <w:p w:rsidR="7E10B603" w:rsidP="7E10B603" w:rsidRDefault="7E10B603" w14:paraId="73ED55BC" w14:textId="34FD71A6">
      <w:pPr>
        <w:pStyle w:val="Normal"/>
      </w:pPr>
      <w:r w:rsidR="7E10B603">
        <w:rPr/>
        <w:t>External providers do not remove ARK AEP’s responsibility for ensuring that the visit is suitable for the learner group and that individual learner needs and risks have been considered.</w:t>
      </w:r>
    </w:p>
    <w:p w:rsidR="7E10B603" w:rsidP="7E10B603" w:rsidRDefault="7E10B603" w14:paraId="2017A12B" w14:textId="4D1360F3">
      <w:pPr>
        <w:pStyle w:val="Heading1"/>
      </w:pPr>
      <w:r w:rsidR="7E10B603">
        <w:rPr/>
        <w:t>11. Consent and Communication with Parents and Carers</w:t>
      </w:r>
    </w:p>
    <w:p w:rsidR="7E10B603" w:rsidP="7E10B603" w:rsidRDefault="7E10B603" w14:paraId="4BF927F2" w14:textId="7BF9390D">
      <w:pPr>
        <w:pStyle w:val="Normal"/>
      </w:pPr>
      <w:r w:rsidR="7E10B603">
        <w:rPr/>
        <w:t>Parents and carers will be provided with appropriate information about visits, including the purpose, date, timings, venue, transport, clothing or equipment required, expected behaviour and contact arrangements. Written consent will be obtained where required, including for visits involving higher levels of risk, visits outside normal school hours or where ARK AEP determines that consent is necessary due to the nature of the activity or learner circumstances.</w:t>
      </w:r>
    </w:p>
    <w:p w:rsidR="7E10B603" w:rsidP="7E10B603" w:rsidRDefault="7E10B603" w14:paraId="7FFE51DB" w14:textId="47F8FEA1">
      <w:pPr>
        <w:pStyle w:val="Normal"/>
      </w:pPr>
      <w:r w:rsidR="7E10B603">
        <w:rPr/>
        <w:t>Where individual learner risk assessments identify specific concerns, ARK AEP may discuss arrangements with parents or carers and relevant professionals before confirming participation.</w:t>
      </w:r>
    </w:p>
    <w:p w:rsidR="7E10B603" w:rsidP="7E10B603" w:rsidRDefault="7E10B603" w14:paraId="28D49554" w14:textId="14DAF7CD">
      <w:pPr>
        <w:pStyle w:val="Heading1"/>
      </w:pPr>
      <w:r w:rsidR="7E10B603">
        <w:rPr/>
        <w:t>12. Transport</w:t>
      </w:r>
    </w:p>
    <w:p w:rsidR="7E10B603" w:rsidP="7E10B603" w:rsidRDefault="7E10B603" w14:paraId="238609B6" w14:textId="1A2442E1">
      <w:pPr>
        <w:pStyle w:val="Normal"/>
      </w:pPr>
      <w:r w:rsidR="7E10B603">
        <w:rPr/>
        <w:t>Transport arrangements must be suitable for the visit and learner group. Risk assessment must consider walking routes, public transport, hired vehicles, school vehicles, taxis, minibuses, seatbelts, supervision during travel, pick-up and drop-off points, emergency arrangements and individual learner needs.</w:t>
      </w:r>
    </w:p>
    <w:p w:rsidR="7E10B603" w:rsidP="7E10B603" w:rsidRDefault="7E10B603" w14:paraId="51A6B190" w14:textId="13CD066D">
      <w:pPr>
        <w:pStyle w:val="Normal"/>
      </w:pPr>
      <w:r w:rsidR="7E10B603">
        <w:rPr/>
        <w:t>Where transport is provided by an external provider, ARK AEP will take reasonable steps to ensure that arrangements are appropriate and that safeguarding and supervision considerations are addressed.</w:t>
      </w:r>
    </w:p>
    <w:p w:rsidR="7E10B603" w:rsidP="7E10B603" w:rsidRDefault="7E10B603" w14:paraId="292826A4" w14:textId="7A9A7168">
      <w:pPr>
        <w:pStyle w:val="Heading1"/>
      </w:pPr>
      <w:r w:rsidR="7E10B603">
        <w:rPr/>
        <w:t>13. First Aid, Medical Needs and Medication</w:t>
      </w:r>
    </w:p>
    <w:p w:rsidR="7E10B603" w:rsidP="7E10B603" w:rsidRDefault="7E10B603" w14:paraId="3C17D476" w14:textId="0F370C39">
      <w:pPr>
        <w:pStyle w:val="Normal"/>
      </w:pPr>
      <w:r w:rsidR="7E10B603">
        <w:rPr/>
        <w:t>First aid arrangements must be appropriate to the visit, the activity and the needs of the learner group. Relevant medical information must be available to staff on a need-to-know basis. Medication must be managed in line with ARK AEP procedures and any individual healthcare plans.</w:t>
      </w:r>
    </w:p>
    <w:p w:rsidR="7E10B603" w:rsidP="7E10B603" w:rsidRDefault="7E10B603" w14:paraId="30C9CDC2" w14:textId="7F86B628">
      <w:pPr>
        <w:pStyle w:val="Normal"/>
      </w:pPr>
      <w:r w:rsidR="7E10B603">
        <w:rPr/>
        <w:t>Where a learner has significant medical needs, advice may be sought from parents or carers, healthcare professionals or other external experts before the visit is approved.</w:t>
      </w:r>
    </w:p>
    <w:p w:rsidR="7E10B603" w:rsidP="7E10B603" w:rsidRDefault="7E10B603" w14:paraId="5F0A6264" w14:textId="3E65051F">
      <w:pPr>
        <w:pStyle w:val="Heading1"/>
      </w:pPr>
      <w:r w:rsidR="7E10B603">
        <w:rPr/>
        <w:t>14. Emergency Procedures</w:t>
      </w:r>
    </w:p>
    <w:p w:rsidR="7E10B603" w:rsidP="7E10B603" w:rsidRDefault="7E10B603" w14:paraId="26D91922" w14:textId="6FA5CEB5">
      <w:pPr>
        <w:pStyle w:val="Normal"/>
      </w:pPr>
      <w:r w:rsidR="7E10B603">
        <w:rPr/>
        <w:t>Every visit must have clear emergency arrangements. Staff must know what to do in the event of illness, injury, missing learner, transport disruption, safeguarding concern, behaviour incident, venue emergency or any other serious incident. The visit leader must have access to emergency contact details, learner information, medical information and school contact arrangements.</w:t>
      </w:r>
    </w:p>
    <w:p w:rsidR="7E10B603" w:rsidP="7E10B603" w:rsidRDefault="7E10B603" w14:paraId="4E2AC8D3" w14:textId="432FAC67">
      <w:pPr>
        <w:pStyle w:val="Normal"/>
      </w:pPr>
      <w:r w:rsidR="7E10B603">
        <w:rPr/>
        <w:t>Serious incidents must be reported to ARK SLT as soon as it is safe to do so. The school will follow relevant safeguarding, health and safety, reporting and communication procedures.</w:t>
      </w:r>
    </w:p>
    <w:p w:rsidR="7E10B603" w:rsidP="7E10B603" w:rsidRDefault="7E10B603" w14:paraId="1221CB7E" w14:textId="1ADCD5D4">
      <w:pPr>
        <w:pStyle w:val="Heading1"/>
      </w:pPr>
      <w:r w:rsidR="7E10B603">
        <w:rPr/>
        <w:t>15. Inclusion and Reasonable Adjustments</w:t>
      </w:r>
    </w:p>
    <w:p w:rsidR="7E10B603" w:rsidP="7E10B603" w:rsidRDefault="7E10B603" w14:paraId="508C947D" w14:textId="7F5827C9">
      <w:pPr>
        <w:pStyle w:val="Normal"/>
      </w:pPr>
      <w:r w:rsidR="7E10B603">
        <w:rPr/>
        <w:t>ARK AEP will seek to make educational visits accessible to learners wherever it is reasonable and safe to do so. Individual needs will be considered during planning, and reasonable adjustments will be made where appropriate. Where participation presents risks that cannot be managed safely, ARK SLT may decide to adapt the visit, provide an alternative activity, increase support or, in exceptional circumstances, determine that participation is not appropriate on that occasion.</w:t>
      </w:r>
    </w:p>
    <w:p w:rsidR="7E10B603" w:rsidP="7E10B603" w:rsidRDefault="7E10B603" w14:paraId="5AB11367" w14:textId="7ACD7F03">
      <w:pPr>
        <w:pStyle w:val="Normal"/>
      </w:pPr>
      <w:r w:rsidR="7E10B603">
        <w:rPr/>
        <w:t>Any decision to restrict participation must be based on evidence, individual risk assessment, professional judgement and, where necessary, advice from external experts.</w:t>
      </w:r>
    </w:p>
    <w:p w:rsidR="7E10B603" w:rsidP="7E10B603" w:rsidRDefault="7E10B603" w14:paraId="0D421371" w14:textId="06570374">
      <w:pPr>
        <w:pStyle w:val="Heading1"/>
      </w:pPr>
      <w:r w:rsidR="7E10B603">
        <w:rPr/>
        <w:t>16. Recording, Monitoring and Review</w:t>
      </w:r>
    </w:p>
    <w:p w:rsidR="7E10B603" w:rsidP="7E10B603" w:rsidRDefault="7E10B603" w14:paraId="5FCEFBC9" w14:textId="7B06F182">
      <w:pPr>
        <w:pStyle w:val="Normal"/>
      </w:pPr>
      <w:r w:rsidR="7E10B603">
        <w:rPr/>
        <w:t>Visit documentation, approval records, risk assessments, consent records where applicable, provider checks and incident records must be retained in line with ARK AEP procedures. Following visits, staff should review what went well, any incidents or near misses, and any improvements needed for future visits.</w:t>
      </w:r>
    </w:p>
    <w:p w:rsidR="7E10B603" w:rsidP="7E10B603" w:rsidRDefault="7E10B603" w14:paraId="5D9064D2" w14:textId="02CC4B5C">
      <w:pPr>
        <w:pStyle w:val="Normal"/>
      </w:pPr>
      <w:r w:rsidR="7E10B603">
        <w:rPr/>
        <w:t>This policy will be reviewed regularly and updated in response to changes in guidance, legislation, local procedures or ARK AEP practice.</w:t>
      </w:r>
    </w:p>
    <w:p w:rsidR="7E10B603" w:rsidP="7E10B603" w:rsidRDefault="7E10B603" w14:paraId="74F78239" w14:textId="798F9022">
      <w:pPr>
        <w:pStyle w:val="Heading1"/>
      </w:pPr>
      <w:r w:rsidR="7E10B603">
        <w:rPr/>
        <w:t>17. Related Guidance and Policies</w:t>
      </w:r>
    </w:p>
    <w:p w:rsidR="7E10B603" w:rsidP="7E10B603" w:rsidRDefault="7E10B603" w14:paraId="55633480" w14:textId="5730CB8A">
      <w:pPr>
        <w:pStyle w:val="Normal"/>
      </w:pPr>
      <w:r w:rsidR="7E10B603">
        <w:rPr/>
        <w:t>This policy should be read alongside ARK AEP’s safeguarding policy, behaviour policy, health and safety procedures, first aid and medication procedures, risk assessment procedures and any local trust or school guidance relating to off-site activities. ARK AEP will also have regard to Department for Education guidance on health and safety on educational visits and relevant Health and Safety Executive advice on proportionate management of school trips.</w:t>
      </w:r>
    </w:p>
    <w:p w:rsidR="1244E9F1" w:rsidP="7E10B603" w:rsidRDefault="1244E9F1" w14:paraId="60926ADE" w14:textId="042B884D">
      <w:pPr>
        <w:pStyle w:val="Normal"/>
      </w:pPr>
      <w:r w:rsidR="1244E9F1">
        <w:rPr/>
        <w:t>Date created- 2.9.25          Review 2.9.26</w:t>
      </w:r>
    </w:p>
    <w:p w:rsidR="7E10B603" w:rsidP="7E10B603" w:rsidRDefault="7E10B603" w14:paraId="53AB3B73" w14:textId="7D094C1A">
      <w:pPr>
        <w:pStyle w:val="Normal"/>
      </w:pPr>
    </w:p>
    <w:p w:rsidR="7E10B603" w:rsidP="7E10B603" w:rsidRDefault="7E10B603" w14:paraId="492D6E8B" w14:textId="632EAA69">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B44D56"/>
    <w:rsid w:val="0DB22E88"/>
    <w:rsid w:val="1244E9F1"/>
    <w:rsid w:val="269A34B0"/>
    <w:rsid w:val="2A42210E"/>
    <w:rsid w:val="2C5AA211"/>
    <w:rsid w:val="2C5AA211"/>
    <w:rsid w:val="2E718032"/>
    <w:rsid w:val="33B44D56"/>
    <w:rsid w:val="515C99EB"/>
    <w:rsid w:val="5859DA73"/>
    <w:rsid w:val="5859DA73"/>
    <w:rsid w:val="64032864"/>
    <w:rsid w:val="661E6949"/>
    <w:rsid w:val="71F3EC3D"/>
    <w:rsid w:val="74FCBB42"/>
    <w:rsid w:val="7E10B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B9CC2"/>
  <w15:chartTrackingRefBased/>
  <w15:docId w15:val="{EDDF636C-7C4F-42E5-A26B-B6F72082BC4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TitleChar" w:customStyle="1" mc:Ignorable="w14">
    <w:name xmlns:w="http://schemas.openxmlformats.org/wordprocessingml/2006/main" w:val="Title Char"/>
    <w:basedOn xmlns:w="http://schemas.openxmlformats.org/wordprocessingml/2006/main" w:val="DefaultParagraphFont"/>
    <w:link xmlns:w="http://schemas.openxmlformats.org/wordprocessingml/2006/main" w:val="Title"/>
    <w:uiPriority xmlns:w="http://schemas.openxmlformats.org/wordprocessingml/2006/main" w:val="10"/>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Title" mc:Ignorable="w14">
    <w:name xmlns:w="http://schemas.openxmlformats.org/wordprocessingml/2006/main" w:val="Title"/>
    <w:basedOn xmlns:w="http://schemas.openxmlformats.org/wordprocessingml/2006/main" w:val="Normal"/>
    <w:next xmlns:w="http://schemas.openxmlformats.org/wordprocessingml/2006/main" w:val="Normal"/>
    <w:link xmlns:w="http://schemas.openxmlformats.org/wordprocessingml/2006/main" w:val="TitleChar"/>
    <w:uiPriority xmlns:w="http://schemas.openxmlformats.org/wordprocessingml/2006/main" w:val="10"/>
    <w:qFormat xmlns:w="http://schemas.openxmlformats.org/wordprocessingml/2006/main"/>
    <w:pPr xmlns:w="http://schemas.openxmlformats.org/wordprocessingml/2006/main">
      <w:spacing xmlns:w="http://schemas.openxmlformats.org/wordprocessingml/2006/main" w:after="80" w:line="240" w:lineRule="auto"/>
      <w:contextualSpacing xmlns:w="http://schemas.openxmlformats.org/wordprocessingml/2006/main"/>
    </w:pPr>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character" w:styleId="SubtitleChar" w:customStyle="1" mc:Ignorable="w14">
    <w:name xmlns:w="http://schemas.openxmlformats.org/wordprocessingml/2006/main" w:val="Subtitle Char"/>
    <w:basedOn xmlns:w="http://schemas.openxmlformats.org/wordprocessingml/2006/main" w:val="DefaultParagraphFont"/>
    <w:link xmlns:w="http://schemas.openxmlformats.org/wordprocessingml/2006/main" w:val="Subtitle"/>
    <w:uiPriority xmlns:w="http://schemas.openxmlformats.org/wordprocessingml/2006/main" w:val="11"/>
    <w:rPr xmlns:w="http://schemas.openxmlformats.org/wordprocessingml/2006/main">
      <w:rFonts w:eastAsiaTheme="majorEastAsia" w:cstheme="majorBidi"/>
      <w:color w:val="595959" w:themeColor="text1" w:themeTint="A6"/>
      <w:spacing w:val="15"/>
      <w:sz w:val="28"/>
      <w:szCs w:val="28"/>
    </w:rPr>
  </w:style>
  <w:style xmlns:w14="http://schemas.microsoft.com/office/word/2010/wordml" xmlns:mc="http://schemas.openxmlformats.org/markup-compatibility/2006" xmlns:w="http://schemas.openxmlformats.org/wordprocessingml/2006/main" w:type="paragraph" w:styleId="Subtitle" mc:Ignorable="w14">
    <w:name xmlns:w="http://schemas.openxmlformats.org/wordprocessingml/2006/main" w:val="Subtitle"/>
    <w:basedOn xmlns:w="http://schemas.openxmlformats.org/wordprocessingml/2006/main" w:val="Normal"/>
    <w:next xmlns:w="http://schemas.openxmlformats.org/wordprocessingml/2006/main" w:val="Normal"/>
    <w:link xmlns:w="http://schemas.openxmlformats.org/wordprocessingml/2006/main" w:val="SubtitleChar"/>
    <w:uiPriority xmlns:w="http://schemas.openxmlformats.org/wordprocessingml/2006/main" w:val="11"/>
    <w:qFormat xmlns:w="http://schemas.openxmlformats.org/wordprocessingml/2006/main"/>
    <w:pPr xmlns:w="http://schemas.openxmlformats.org/wordprocessingml/2006/main">
      <w:numPr xmlns:w="http://schemas.openxmlformats.org/wordprocessingml/2006/main">
        <w:ilvl w:val="1"/>
      </w:numPr>
    </w:pPr>
    <w:rPr xmlns:w="http://schemas.openxmlformats.org/wordprocessingml/2006/main">
      <w:rFonts w:eastAsiaTheme="majorEastAsia" w:cstheme="majorBidi"/>
      <w:color w:val="595959" w:themeColor="text1" w:themeTint="A6"/>
      <w:spacing w:val="15"/>
      <w:sz w:val="28"/>
      <w:szCs w:val="28"/>
    </w:r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360" w:after="80"/>
      <w:outlineLvl xmlns:w="http://schemas.openxmlformats.org/wordprocessingml/2006/main" w:val="0"/>
    </w:pPr>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1"/>
    </w:pPr>
    <w:rPr xmlns:w="http://schemas.openxmlformats.org/wordprocessingml/2006/main">
      <w:rFonts w:asciiTheme="majorHAnsi" w:hAnsiTheme="majorHAnsi" w:eastAsiaTheme="majorEastAsia"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Id168834539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Kay Walton</dc:creator>
  <keywords/>
  <dc:description/>
  <lastModifiedBy>Kay Walton</lastModifiedBy>
  <revision>2</revision>
  <dcterms:created xsi:type="dcterms:W3CDTF">2026-06-29T07:39:04.0105576Z</dcterms:created>
  <dcterms:modified xsi:type="dcterms:W3CDTF">2026-06-29T07:45:17.4226183Z</dcterms:modified>
</coreProperties>
</file>