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421541" cy="1421541"/>
            <wp:effectExtent b="0" l="0" r="0" t="0"/>
            <wp:docPr descr="A logo with colorful circles  Description automatically generated" id="575010201" name="image1.jpg"/>
            <a:graphic>
              <a:graphicData uri="http://schemas.openxmlformats.org/drawingml/2006/picture">
                <pic:pic>
                  <pic:nvPicPr>
                    <pic:cNvPr descr="A logo with colorful circles  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1541" cy="1421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ARK Malpractice and Maladministration Policy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Effective from- June 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For the attention of: ASDAN Provider/Providers/ARK Staff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Compliance Manager Head: Quality and Qualifications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Linked to: Quality Assurance and Qualifications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 be reviewed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July 2026-Reviewed by Compliance Team and approved by ASDAN Provider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Contents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Overview 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 Definition of malpractice and maladministration 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2.1 Artificial intelligence (AI) 6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 Responsibilities in alleged or actual cases of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malpractice or maladministration 8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3.1 ASDAN’s responsibilities 8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3.2 Centres’ responsibilities 9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 Guidance for preventing malpractice and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maladministration in centres 10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 Identifying cases of alleged or actual malpractice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or maladministration 11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 Reporting suspected or actual malpractice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or maladministration 12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7 Procedures 13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8 Associated policies and procedures 15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 Overview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As an approved awarding organisation ASDAN must maintain rigorous quality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assurance and control arrangements as outlined in the Conditions of Recognition*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ASDAN expects to work co-operatively with centres to ensure that the statutory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regulation of external qualifications is upheld and, through this, award appropriately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the candidates who have demonstrated that they have successfully achieved the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required standards.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As a regulated awarding organisation, we aim to prevent malpractice and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maladministration occurring. If such incidents happen, we will fully investigate and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work with centres to find a satisfactory conclusion and to minimise the effects on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all parties, and we will aim to identify improvements in practice that will prevent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any reoccurrence.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As part of this regulatory responsibility, we require centres to ensure that they have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robust measures in place to prevent, investigate, report and deal with cases of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maladministration, and any suspected, alleged and actual cases of malpractice, and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to work with us in cases where there is found to be cause for concern.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This policy covers all ASDAN qualifications and all related procedures and activities.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Centres must ensure that all centre staff having a role in the delivery, assessment,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moderation/verification and administration of ASDAN qualifications, and all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candidates undertaking ASDAN qualifications have access to this policy and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understand their responsibilities in relation to it.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2- </w:t>
      </w:r>
      <w:r w:rsidDel="00000000" w:rsidR="00000000" w:rsidRPr="00000000">
        <w:rPr>
          <w:b w:val="1"/>
          <w:sz w:val="28"/>
          <w:szCs w:val="28"/>
          <w:rtl w:val="0"/>
        </w:rPr>
        <w:t xml:space="preserve">Definition of malpractice and maladministration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Malpractice is any illegal or unethical activity or practice that deliberately breaches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regulations, or might compromise quality assurance or control, or undermine the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integrity and validity of assessment, the certification of qualifications and/or damage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the authority of those responsible for conducting the assessment and certification,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or could otherwise compromise the reputation of ASDAN, the centre, or the wider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qualifications community.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Malpractice may involve any or all of the following: candidates, centre staff,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awarding organisation staff, for example: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• Candidate malpractice could be plagiarism of any kind; collusion or copying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of another candidate’s work; assuming the identity of another person for the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purposes of assessment; providing false information in relation to exemption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from assessment. The increasing use of AI by learners is an example of where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plagiarism could occur. See section 2.1 for more details.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• Centre staff malpractice could be contravention of, or continued failure to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meet centre approval, or any of ASDAN’s administration or quality assurance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requirements; providing improper assistance to candidates in the production of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work for assessment; allowing evidence which is known by the staff member not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to be the candidate’s own to be included; or making claims for certification prior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to the candidate completing all the requirements of the assessment.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• Awarding organisation malpractice could be the failure of an ASDAN auditor,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EQA or External Moderator to fully undertake their role in line with quality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assurance requirements. In suspected cases involving an ASDAN External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Moderator or other member of staff, ASDAN will conduct an investigation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appropriate to the nature of the allegation.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Maladministration is any unintentional activity or practice that leads to noncompliance with ASDAN requirements. In most cases, maladministration will relate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to administrative or quality assurance procedures, and may involve any or all of the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following: candidates, centre staff, awarding organisation staff. Maladministration,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if serious enough, may be treated as malpractice.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In suspected cases involving an ASDAN External Quality Assurer or other member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of staff, ASDAN will conduct an investigation appropriate to the nature of the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allegation.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2.1 Artificial intelligence (AI)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The increasing use of AI generative tools (eg ChatGPT) by candidates is an example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of where plagiarism and malpractice could occur.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ASDAN recognises that there are huge opportunities for teachers and candidates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with this new technology, as it enables candidates to manipulate information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quickly in a way that is easily accessible. However AI generative tools do not credit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sources and there is a risk that candidates using AI generative tools could produce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inaccurate or even harmful content.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ASDAN would consider the use of unacknowledged AI-generated evidence to be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plagiarism; it is the responsibility of the centre (assessor) to establish that the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candidate’s work is authentically their own. Candidates must be made aware of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the importance of submitting their own independent work for assessment and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candidates must make sure that work submitted for assessment is demonstrably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their own. If any sections of their work are reproduced directly from AI-generated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responses, those elements must be identified by the candidate and not included as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evidence of meeting a learning outcome or assessment criteria.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The use of AI generative tools in teaching and formative assessment could be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beneficial for candidates. However, the concern is when AI-generated content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is used in summative (final) assessment and the evidence produced is not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authentically written/created by the candidate, therefore it does not support the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candidate demonstrating critical or evaluative skills. It’s important that candidates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maintain a critical lens and use a range of sources, especially in research and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project-based qualifications.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This means ensuring that the final product is in the candidate’s own words, that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it isn’t copied or paraphrased from another source (eg an AI generative tool) and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that the content reflects their own independent work. Candidates are expected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to demonstrate their own knowledge, skills and understanding required for the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qualification, as set out in the qualification specification. Any use of AI-generated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content that means candidates have not independently demonstrated their own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attainment is likely to be considered malpractice.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Using AI as a source but not a final product could be suitable. For example, if a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candidate uses an AI generative tool that provides details of the sources it has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used in generating content. The candidate would need to verify the sources and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reference this in their work in the normal way. Where an AI generative tool does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not provide such details, candidates should ensure that they independently verify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the AI-generated content and then reference the sources they have used. This will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allow the assessor to review how AI-generated content has been used and whether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that use was appropriate in the context of the particular assessment. This is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particularly relevant for Level 2 and Level 3 qualifications that require research and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evaluation or analysis of the research findings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2.1 Artificial intelligence (AI)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The increasing use of AI generative tools (eg ChatGPT) by candidates is an example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of where plagiarism and malpractice could occur.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ASDAN recognises that there are huge opportunities for teachers and candidates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with this new technology, as it enables candidates to manipulate information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quickly in a way that is easily accessible. However AI generative tools do not credit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sources and there is a risk that candidates using AI generative tools could produce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inaccurate or even harmful content.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ASDAN would consider the use of unacknowledged AI-generated evidence to be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plagiarism; it is the responsibility of the centre (assessor) to establish that the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candidate’s work is authentically their own. Candidates must be made aware of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the importance of submitting their own independent work for assessment and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candidates must make sure that work submitted for assessment is demonstrably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their own. If any sections of their work are reproduced directly from AI-generated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responses, those elements must be identified by the candidate and not included as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evidence of meeting a learning outcome or assessment criteria.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The use of AI generative tools in teaching and formative assessment could be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beneficial for candidates. However, the concern is when AI-generated content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is used in summative (final) assessment and the evidence produced is not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authentically written/created by the candidate, therefore it does not support the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candidate demonstrating critical or evaluative skills. It’s important that candidates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maintain a critical lens and use a range of sources, especially in research and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project-based qualifications.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This means ensuring that the final product is in the candidate’s own words, that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it isn’t copied or paraphrased from another source (eg an AI generative tool) and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that the content reflects their own independent work. Candidates are expected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to demonstrate their own knowledge, skills and understanding required for the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qualification, as set out in the qualification specification. Any use of AI-generated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content that means candidates have not independently demonstrated their own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attainment is likely to be considered malpractice.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Using AI as a source but not a final product could be suitable. For example, if a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candidate uses an AI generative tool that provides details of the sources it has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used in generating content. The candidate would need to verify the sources and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reference this in their work in the normal way. Where an AI generative tool does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not provide such details, candidates should ensure that they independently verify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the AI-generated content and then reference the sources they have used. This will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allow the assessor to review how AI-generated content has been used and whether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that use was appropriate in the context of the particular assessment. This is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particularly relevant for Level 2 and Level 3 qualifications that require research and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evaluation or analysis of the research findings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2.1 Artificial intelligence (AI)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The increasing use of AI generative tools (eg ChatGPT) by candidates is an example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of where plagiarism and malpractice could occur.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ASDAN recognises that there are huge opportunities for teachers and candidates 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with this new technology, as it enables candidates to manipulate information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quickly in a way that is easily accessible. However AI generative tools do not credit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sources and there is a risk that candidates using AI generative tools could produce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inaccurate or even harmful content.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ASDAN would consider the use of unacknowledged AI-generated evidence to be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plagiarism; it is the responsibility of the centre (assessor) to establish that the 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candidate’s work is authentically their own. Candidates must be made aware of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the importance of submitting their own independent work for assessment and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candidates must make sure that work submitted for assessment is demonstrably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their own. If any sections of their work are reproduced directly from AI-generated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responses, those elements must be identified by the candidate and not included as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evidence of meeting a learning outcome or assessment criteria.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The use of AI generative tools in teaching and formative assessment could be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beneficial for candidates. However, the concern is when AI-generated content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is used in summative (final) assessment and the evidence produced is not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authentically written/created by the candidate, therefore it does not support the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candidate demonstrating critical or evaluative skills. It’s important that candidates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maintain a critical lens and use a range of sources, especially in research and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project-based qualifications.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This means ensuring that the final product is in the candidate’s own words, that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it isn’t copied or paraphrased from another source (eg an AI generative tool) and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that the content reflects their own independent work. Candidates are expected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to demonstrate their own knowledge, skills and understanding required for the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qualification, as set out in the qualification specification. Any use of AI-generated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content that means candidates have not independently demonstrated their own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attainment is likely to be considered malpractice.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Using AI as a source but not a final product could be suitable. For example, if a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candidate uses an AI generative tool that provides details of the sources it has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used in generating content. The candidate would need to verify the sources and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reference this in their work in the normal way. Where an AI generative tool does 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not provide such details, candidates should ensure that they independently verify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the AI-generated content and then reference the sources they have used. This will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allow the assessor to review how AI-generated content has been used and whether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that use was appropriate in the context of the particular assessment. This is 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particularly relevant for Level 2 and Level 3 qualifications that require research and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evaluation or analysis of the research findings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Examples of AI use*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that would be considered malpractice: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• Copying or paraphrasing sections of AI-generated content so that the work is no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longer the candidate’s own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• Copying or paraphrasing whole responses of AI-generated content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• Using AI to complete parts of the assessment so that the work does not reflect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the candidate’s own work, analysis, evaluation or calculations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• Failing to acknowledge use of AI tools when they have been used as a source of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information 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• Submitting work with intentionally incomplete or misleading references or 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bibliographies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Where teachers/assessors/internal quality assurers have doubts about the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authenticity of candidate work submitted for assessment (eg they suspect that 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parts of it have been generated by AI tools), they must investigate and take 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appropriate action. 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• Should the misuse of AI-generated content be confirmed and the candidate has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not completed the assessment checklist, where they are asked to declared their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evidence to be their own, the centre should manage this internally and does not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need to notify ASDAN of the malpractice. 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• If the misuse of AI-generated content is detected or suspected by the centre and 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the declaration of authenticity on the assessment checklist has been signed, the 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case must be reported to ASDAN. 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The Head of Centre has ultimate responsibility for ensuring that all incidences of 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malpractice relating to inauthentic learner work are managed appropriately and 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effectively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3 Responsibilities in alleged or actual cases of malpractice or maladministration 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When alleged or actual malpractice or maladministration has been identified ASDAN 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will: 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• notify the Head or Principal of the centre. If the allegation implicates the Head or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Principal, ASDAN will notify another suitable person at the centre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• undertake fair and unbiased investigations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• notify the Regulators Ofqual/CCEA/Qualifications Wales (as appropriate) of 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all serious incidents of maladministration or malpractice and of steps taken or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intended to be taken to prevent, correct or mitigate any adverse effect that may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occur as a result, in line with ASDAN’s policy for dealing with Adverse Effects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• notify other Awarding Organisations (as appropriate) of all serious incidents of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maladministration or malpractice identified within centres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• ensure that all reasonable steps are taken to prevent or mitigate the effect of the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alleged or actual incident as far as possible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• if requested by the centre, give advice and guidance on how best to work with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ASDAN to investigate, deal with and prevent the effect of the alleged or actual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incident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• provide the centre with a report of the investigation outcome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• take appropriate action against any person found to be responsible for proven 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malpractice or maladministration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• revoke any certificate found to have been issued invalidly as a result of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malpractice or maladministration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• apply sanctions in line with ASDAN’s sanctions policy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• work with the centre to ensure that the malpractice or maladministration do not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recur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3.2 Centres’ responsibilities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As a requirement of registration and approval, a centre must: 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• have in place, and make available to ASDAN as part of Centre Approval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procedures, an appropriate policy for dealing with malpractice within the centre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• promptly report to ASDAN all suspected (alleged) and actual incidents of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malpractice or maladministration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• inform the person suspected of malpractice that an investigation will take place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and that they have a right to reply or appeal against any sanction imposed on 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them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• comply fully with ASDAN’s requests for information in relation to the allegation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• co-operate with ASDAN during the investigation, including carrying out internal 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investigations in line with ASDAN’s requests, using people who are not involved in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the alleged maladministration or malpractice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• provide ASDAN with a report of the outcome any such investigation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• implement agreed actions as a result of the investigation, and take 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appropriate measures to mitigate the effect and prevent any recurrence of the 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maladministration or suspected or actual malpractice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• notify ASDAN if any person involved in the malpractice or maladministration or in 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completing any actions as a result of the investigation leaves the centre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• respect the confidentiality of information handled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• retain records and documentation relating to the investigation for a period of time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Failure to report malpractice or maladministration, suspected or actual, once 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candidates have been registered, may affect the issue of certificates, and a failure to 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co-operate might affect the future registration of candidates. </w:t>
      </w:r>
    </w:p>
    <w:p w:rsidR="00000000" w:rsidDel="00000000" w:rsidP="00000000" w:rsidRDefault="00000000" w:rsidRPr="00000000" w14:paraId="000001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Guidance for preventing malpractice and maladministration at ARK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Provide clear information for staff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Many instances of malpractice relate to a lack of communication. For example,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all staff involved must be aware of the assessment requirements, the relevant 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Standards with Guidance, administrative procedures and the terminology and 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definitions of malpractice and maladministration. They must be aware of the 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procedures to follow should they become aware of either centre staff or candidate 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malpractice or maladministration occurring. 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Identify the key roles of staff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It must be clear to all staff what their roles and responsibilities are for the various 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aspects of the management, delivery and administration of assessments (assessors/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tutors, internal moderator, exams officers and other administrative staff). 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Only assist candidates where permitted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Assessors must be clear over how they may “assist candidates” in relation to 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assessments/portfolios, and the requirement to provide evidence of candidates’ 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individual performance. Candidates with access arrangements must not be assisted 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beyond what is permitted by the regulations.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Deal with centre staff and candidate malpractice in the correct and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appropriate manner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If centre staff or candidates are suspected of engaging in any of the behaviour/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actions detailed in 2 above then this needs to be dealt with in the appropriate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manner. Senior leaders must ensure that they are clear on what ASDAN expects 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when dealing with such instances. They must be aware of the processes related to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dealing with malpractice and how to investigate and report instances accordingly. 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Provide clear information for candidates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Although it is almost impossible to monitor every aspect of internal assessments, 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candidates should be clear over the consequences of collusion, copying or allowing 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their work to be copied. When it is and is not appropriate to use AI generated 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material must be discussed with candidates, as well as the potential consequences 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for the candidate. It is the responsibility of centres to make candidates aware of 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these regulations.</w:t>
      </w:r>
    </w:p>
    <w:p w:rsidR="00000000" w:rsidDel="00000000" w:rsidP="00000000" w:rsidRDefault="00000000" w:rsidRPr="00000000" w14:paraId="000001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Identifying cases of alleged or actual malpractice or maladministration at ARK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Suspected cases of malpractice or maladministration could be identified by centre 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staff, examiners, moderators and assessors, candidates, external agencies or 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individuals, whistle-blowers or anonymous informants.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ASDAN is aware that the reporting of malpractice or maladministration by a 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member of staff or candidate can potentially cause a difficult situation in the 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workplace or centre, and will therefore protect the identity of the informant as far 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as legally possible if this is asked for when a report is made. ASDAN will continue to 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carry out an investigation but will tell the informant that its scope may be limited. 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Where the person making the allegation gives no contact information whatsoever, 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ASDAN will be unable to carry out an investigation but will log the details of the 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allegation. If the information is provided by telephone, the informant will usually be 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asked to make the allegation in writing.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When ASDAN receives an allegation from someone other than the head of a centre 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(including anonymous reports), ASDAN will evaluate the allegation in the light of 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any other available information, to see if there is cause to investigate further.</w:t>
      </w:r>
    </w:p>
    <w:p w:rsidR="00000000" w:rsidDel="00000000" w:rsidP="00000000" w:rsidRDefault="00000000" w:rsidRPr="00000000" w14:paraId="0000014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 Reporting suspected or actual malpractice or maladministration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Centres must submit the full details of the case at the earliest opportunity to 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ASDAN, using the Notification of malpractice or maladministration form. Copies 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can be found on the ASDAN website: asdan.org.uk or obtained by contacting 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ASDAN’s Compliance team by email: compliance@asdan.org.uk or phone 0117 954 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8316. 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Any additional evidence to support the allegation should be included with the form.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Note: Centres must not give credit for any work submitted which is not the 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candidate’s own work, but if any assistance has been given, for example use of a 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scribe, a note must be made of this on the cover sheet of the coursework or other 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appropriate place. Should AI generated evidence be presented by a candidate for 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external moderation for any reason, the assessor is to note this on the candidate’s 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assessment checklist and provide the rationale behind the decision to include the 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evidence.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Signed-K Walton - DSL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Signed A Middlemas- DDSL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Date created 27.5.25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Termly review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Annual Update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715A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715A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715A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715A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715A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715A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715A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715A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715A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715A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715A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715A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715A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715A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715A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715A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715A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715A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715A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15A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715A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715A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715A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715A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715A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715A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715A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15A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715A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zFrK7ecCTS0uLD4CuPbe52FDg==">CgMxLjA4AHIhMTBVVFpvY3Z5U3R2WmZpRVNBQjZFcFR1MkpVWWVhMVJI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2024-04-17T08:50:00Z</dcterms:created>
  <dc:creator>Kay Brady</dc:creator>
</cp:coreProperties>
</file>